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E57" w14:textId="77777777"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14:paraId="6748DA9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14:paraId="70F5DA25" w14:textId="77777777"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EA5BE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93DDF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F7514E" w14:textId="77777777"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6E723" w14:textId="77777777"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E26B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F539B" w14:textId="1AF54326"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533F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672C2A" w14:textId="77777777"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60C57" w14:textId="77777777"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85/20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14:paraId="33E45194" w14:textId="77777777"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A6ACA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14:paraId="657FA0EC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14:paraId="0869A8FB" w14:textId="77777777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C4D59E5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14:paraId="6E7E9010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14:paraId="7C24D049" w14:textId="77777777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58845FB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14:paraId="695850E8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14:paraId="426E7669" w14:textId="77777777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5771F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14:paraId="54BBC481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14:paraId="0D342E72" w14:textId="77777777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2C1630D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14:paraId="7001B97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14:paraId="70E8BE55" w14:textId="77777777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5E691C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14:paraId="197321E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14:paraId="2090BA82" w14:textId="77777777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DAC927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14:paraId="0363A3D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14:paraId="73C726DD" w14:textId="77777777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B4FD36F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14:paraId="706F2AB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14:paraId="18342C05" w14:textId="77777777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3A2AF1E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14:paraId="1C8E3FD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14:paraId="1A1E595D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4897A8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14:paraId="492E8E85" w14:textId="6870696F" w:rsidR="00AA2928" w:rsidRPr="00126F80" w:rsidRDefault="00AA2928" w:rsidP="00AF25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</w:t>
            </w:r>
            <w:r w:rsidR="00AF2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="00533F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14:paraId="3A384568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1956FE7C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14:paraId="396D8947" w14:textId="77777777"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14:paraId="1BCB6DBE" w14:textId="77777777"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C606" w14:textId="5133F7F6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33FD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350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33FD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33FD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Ivan Bubić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E2B044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1039D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444884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9EEFC9" w14:textId="77777777" w:rsidR="00C30F69" w:rsidRPr="007C501E" w:rsidRDefault="00C30F69" w:rsidP="007C50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14:paraId="1961A101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6A5291" w14:textId="77777777"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E6F2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AE2EA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14:paraId="6C500A3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A5C131" w14:textId="3FBA3970"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45A1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34403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5E3FD4">
        <w:rPr>
          <w:rFonts w:ascii="Times New Roman" w:eastAsia="Times New Roman" w:hAnsi="Times New Roman" w:cs="Times New Roman"/>
          <w:sz w:val="24"/>
          <w:szCs w:val="24"/>
          <w:lang w:eastAsia="hr-HR"/>
        </w:rPr>
        <w:t>643.472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za 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325</w:t>
      </w:r>
      <w:r w:rsidR="008313C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347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kn manje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E3FD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14:paraId="52F15888" w14:textId="77777777"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E2A2F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4F935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93F92" w14:textId="77777777"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88B4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1: Ostvareni prihodi u kn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14:paraId="131C1D11" w14:textId="77777777" w:rsidTr="008313CD">
        <w:tc>
          <w:tcPr>
            <w:tcW w:w="959" w:type="dxa"/>
            <w:vAlign w:val="center"/>
          </w:tcPr>
          <w:p w14:paraId="48B4B27C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300AA6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566B5" w14:textId="2A51A472" w:rsidR="00C30F69" w:rsidRPr="00C30F69" w:rsidRDefault="00C30F6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14:paraId="751216E0" w14:textId="2A6EBC4B" w:rsidR="00C30F69" w:rsidRPr="00C30F69" w:rsidRDefault="000C684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31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C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14:paraId="52048982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14:paraId="30D54A08" w14:textId="77777777" w:rsidTr="008313CD">
        <w:tc>
          <w:tcPr>
            <w:tcW w:w="959" w:type="dxa"/>
            <w:vAlign w:val="center"/>
          </w:tcPr>
          <w:p w14:paraId="3893CAAD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D31CD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68E0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14:paraId="74841455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14:paraId="0A0D0714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14:paraId="7DF1B330" w14:textId="77777777" w:rsidTr="008313CD">
        <w:tc>
          <w:tcPr>
            <w:tcW w:w="959" w:type="dxa"/>
            <w:vAlign w:val="center"/>
          </w:tcPr>
          <w:p w14:paraId="0185DE7D" w14:textId="77777777"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52320" w14:textId="77777777"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14:paraId="4B114191" w14:textId="77777777"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6, AOP 001)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D2CD4" w14:textId="052CA006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5.968.819</w:t>
            </w:r>
          </w:p>
        </w:tc>
        <w:tc>
          <w:tcPr>
            <w:tcW w:w="1842" w:type="dxa"/>
            <w:vAlign w:val="center"/>
          </w:tcPr>
          <w:p w14:paraId="447DBEBF" w14:textId="2BAA9144" w:rsidR="00AB603D" w:rsidRPr="002D2EF2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643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472</w:t>
            </w:r>
          </w:p>
        </w:tc>
        <w:tc>
          <w:tcPr>
            <w:tcW w:w="1134" w:type="dxa"/>
            <w:vAlign w:val="center"/>
          </w:tcPr>
          <w:p w14:paraId="270B776F" w14:textId="63861909" w:rsidR="00AB603D" w:rsidRPr="009A6363" w:rsidRDefault="00A64F21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2F5500" w:rsidRPr="00C30F69" w14:paraId="09671A89" w14:textId="77777777" w:rsidTr="008313CD">
        <w:tc>
          <w:tcPr>
            <w:tcW w:w="959" w:type="dxa"/>
            <w:vAlign w:val="center"/>
          </w:tcPr>
          <w:p w14:paraId="3C743EC9" w14:textId="77777777" w:rsidR="002F5500" w:rsidRPr="002F5500" w:rsidRDefault="002F5500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9972B8" w14:textId="3DB3A8DA" w:rsidR="002F5500" w:rsidRPr="002F5500" w:rsidRDefault="002F5500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5E3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rihodi od tekućih donacija pravnih osoba</w:t>
            </w: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(skupna 63, AOP </w:t>
            </w:r>
            <w:r w:rsidR="005E3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</w:t>
            </w: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2E48B" w14:textId="54A008F4" w:rsidR="002F5500" w:rsidRPr="002F5500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42" w:type="dxa"/>
            <w:vAlign w:val="center"/>
          </w:tcPr>
          <w:p w14:paraId="2C969153" w14:textId="0E654CE8" w:rsidR="002F5500" w:rsidRPr="002F5500" w:rsidRDefault="005E3FD4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72.810</w:t>
            </w:r>
          </w:p>
        </w:tc>
        <w:tc>
          <w:tcPr>
            <w:tcW w:w="1134" w:type="dxa"/>
            <w:vAlign w:val="center"/>
          </w:tcPr>
          <w:p w14:paraId="2751D50D" w14:textId="77777777" w:rsidR="002F5500" w:rsidRPr="002F5500" w:rsidRDefault="00A64F21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603D" w:rsidRPr="00D2237B" w14:paraId="25A8333C" w14:textId="77777777" w:rsidTr="008313CD">
        <w:tc>
          <w:tcPr>
            <w:tcW w:w="959" w:type="dxa"/>
            <w:vAlign w:val="center"/>
          </w:tcPr>
          <w:p w14:paraId="53719FD5" w14:textId="77777777" w:rsidR="00AB603D" w:rsidRPr="00C30F69" w:rsidRDefault="002D2EF2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8C5B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D92B5" w14:textId="77777777"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14:paraId="28C20BE9" w14:textId="25A69CA8"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FC189" w14:textId="28347766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5.968.819</w:t>
            </w:r>
          </w:p>
        </w:tc>
        <w:tc>
          <w:tcPr>
            <w:tcW w:w="1842" w:type="dxa"/>
            <w:vAlign w:val="center"/>
          </w:tcPr>
          <w:p w14:paraId="09C08116" w14:textId="77777777" w:rsidR="002F5500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24D414" w14:textId="7CF48D83" w:rsidR="00F40BC7" w:rsidRDefault="008C5B16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5E3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E3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662</w:t>
            </w:r>
          </w:p>
          <w:p w14:paraId="54E8C7C0" w14:textId="77777777"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43EB58" w14:textId="739D1668" w:rsidR="00A64F21" w:rsidRPr="00D2237B" w:rsidRDefault="00A64F21" w:rsidP="00A6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  <w:r w:rsidR="005E3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,3</w:t>
            </w:r>
          </w:p>
        </w:tc>
      </w:tr>
      <w:tr w:rsidR="00AB603D" w:rsidRPr="00C30F69" w14:paraId="0ACEC111" w14:textId="77777777" w:rsidTr="008313CD">
        <w:tc>
          <w:tcPr>
            <w:tcW w:w="959" w:type="dxa"/>
          </w:tcPr>
          <w:p w14:paraId="40C25B57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7B36F613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B3AC8" w14:textId="2642C72A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819</w:t>
            </w:r>
          </w:p>
        </w:tc>
        <w:tc>
          <w:tcPr>
            <w:tcW w:w="1842" w:type="dxa"/>
            <w:vAlign w:val="center"/>
          </w:tcPr>
          <w:p w14:paraId="265AB225" w14:textId="2A8EAED5" w:rsidR="00AB603D" w:rsidRPr="00D2237B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472</w:t>
            </w:r>
          </w:p>
        </w:tc>
        <w:tc>
          <w:tcPr>
            <w:tcW w:w="1134" w:type="dxa"/>
            <w:vAlign w:val="center"/>
          </w:tcPr>
          <w:p w14:paraId="007104B8" w14:textId="2E4DBDEE" w:rsidR="00AB603D" w:rsidRPr="00D2237B" w:rsidRDefault="005E3FD4" w:rsidP="005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94,5</w:t>
            </w:r>
          </w:p>
        </w:tc>
      </w:tr>
    </w:tbl>
    <w:p w14:paraId="38D161D3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2A6EB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14:paraId="21EA5DA4" w14:textId="725659A9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AA4FF" w14:textId="5C2218D3" w:rsidR="001D7DD3" w:rsidRPr="0052204A" w:rsidRDefault="001D7DD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123 Tekuća donacija CEF </w:t>
      </w:r>
      <w:r w:rsidR="00784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nositelja projekta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72.810 kn</w:t>
      </w:r>
    </w:p>
    <w:p w14:paraId="37170F01" w14:textId="32FA8A77"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13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pror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544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398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</w:p>
    <w:p w14:paraId="0AA77C92" w14:textId="7BF7F3F1" w:rsidR="00C30F69" w:rsidRPr="001A19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13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nadl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pror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za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nabavu </w:t>
      </w:r>
      <w:proofErr w:type="spellStart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nef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1D7DD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D7DD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1D7DD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264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14:paraId="5662B365" w14:textId="2578708E"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44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E3F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643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E3F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472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14:paraId="23891909" w14:textId="77777777" w:rsidR="00566F98" w:rsidRDefault="00566F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244F6" w14:textId="77777777"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C7146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27774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14:paraId="26ED5BA2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11C0E" w14:textId="77777777"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E4CDC" w14:textId="776F871A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6B546D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2690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66F98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843BB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597</w:t>
      </w:r>
      <w:r w:rsidR="00AD6E2F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.261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kn, što je </w:t>
      </w:r>
      <w:r w:rsidR="000A36F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E2F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372.400</w:t>
      </w:r>
      <w:r w:rsidR="0042690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42690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14:paraId="3ED74C7E" w14:textId="77777777" w:rsidR="002216A7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E5CEE" w14:textId="77777777"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0A87" w14:textId="77777777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2: Ostvareni rashodi u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14:paraId="195C999C" w14:textId="77777777" w:rsidTr="00566F98">
        <w:tc>
          <w:tcPr>
            <w:tcW w:w="830" w:type="dxa"/>
            <w:vAlign w:val="center"/>
          </w:tcPr>
          <w:p w14:paraId="41809E61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48D80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95BC12" w14:textId="6B46ACF5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14:paraId="4A5CEBDC" w14:textId="0B14B214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1" w:type="dxa"/>
            <w:vAlign w:val="center"/>
          </w:tcPr>
          <w:p w14:paraId="69D1314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14:paraId="401314DD" w14:textId="77777777" w:rsidTr="00566F98">
        <w:tc>
          <w:tcPr>
            <w:tcW w:w="830" w:type="dxa"/>
            <w:vAlign w:val="center"/>
          </w:tcPr>
          <w:p w14:paraId="107DB23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2AB8D4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01767B" w14:textId="77777777"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6" w:type="dxa"/>
            <w:vAlign w:val="center"/>
          </w:tcPr>
          <w:p w14:paraId="162B21E1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vAlign w:val="center"/>
          </w:tcPr>
          <w:p w14:paraId="0FBF7C5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14:paraId="53162EA1" w14:textId="77777777" w:rsidTr="00566F98">
        <w:tc>
          <w:tcPr>
            <w:tcW w:w="830" w:type="dxa"/>
            <w:vAlign w:val="center"/>
          </w:tcPr>
          <w:p w14:paraId="37143FA6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EDA8339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14:paraId="3FE8D2DC" w14:textId="77777777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EE21C1" w14:textId="2B5D68CE" w:rsidR="007D5CEF" w:rsidRPr="00C30F69" w:rsidRDefault="001D7DD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866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831</w:t>
            </w:r>
          </w:p>
        </w:tc>
        <w:tc>
          <w:tcPr>
            <w:tcW w:w="1716" w:type="dxa"/>
            <w:vAlign w:val="center"/>
          </w:tcPr>
          <w:p w14:paraId="0791CF2B" w14:textId="41B86D62" w:rsidR="007D5CEF" w:rsidRPr="00C30F69" w:rsidRDefault="00426904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570.997</w:t>
            </w:r>
          </w:p>
        </w:tc>
        <w:tc>
          <w:tcPr>
            <w:tcW w:w="1141" w:type="dxa"/>
            <w:vAlign w:val="center"/>
          </w:tcPr>
          <w:p w14:paraId="7FC5673B" w14:textId="6D7C8FD4" w:rsidR="007D5CEF" w:rsidRPr="00D2237B" w:rsidRDefault="00426904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566F98" w:rsidRPr="00D2237B" w14:paraId="2C7D772E" w14:textId="77777777" w:rsidTr="00566F98">
        <w:tc>
          <w:tcPr>
            <w:tcW w:w="830" w:type="dxa"/>
            <w:vAlign w:val="center"/>
          </w:tcPr>
          <w:p w14:paraId="1507BB6B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ADC50C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14:paraId="796D3AA4" w14:textId="7D71F242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14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6FAB3F" w14:textId="469B444C" w:rsidR="007D5CEF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1716" w:type="dxa"/>
            <w:vAlign w:val="center"/>
          </w:tcPr>
          <w:p w14:paraId="4D0991E3" w14:textId="03A660A2" w:rsidR="007D5CEF" w:rsidRPr="00C30F69" w:rsidRDefault="001D7DD3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4.903.225</w:t>
            </w:r>
          </w:p>
        </w:tc>
        <w:tc>
          <w:tcPr>
            <w:tcW w:w="1141" w:type="dxa"/>
            <w:vAlign w:val="center"/>
          </w:tcPr>
          <w:p w14:paraId="032E9101" w14:textId="55F0D648" w:rsidR="007D5CEF" w:rsidRPr="00D2237B" w:rsidRDefault="00426904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66F98" w:rsidRPr="00D2237B" w14:paraId="222EA565" w14:textId="77777777" w:rsidTr="00566F98">
        <w:tc>
          <w:tcPr>
            <w:tcW w:w="830" w:type="dxa"/>
            <w:vAlign w:val="center"/>
          </w:tcPr>
          <w:p w14:paraId="6451F2C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DCCA8A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14:paraId="4F52D3B8" w14:textId="15FA6C43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7910D8A" w14:textId="469DA6D9" w:rsidR="007D5CEF" w:rsidRPr="00C30F69" w:rsidRDefault="001D7DD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707.300</w:t>
            </w:r>
          </w:p>
        </w:tc>
        <w:tc>
          <w:tcPr>
            <w:tcW w:w="1716" w:type="dxa"/>
            <w:vAlign w:val="center"/>
          </w:tcPr>
          <w:p w14:paraId="52C13CDA" w14:textId="612EAC4A" w:rsidR="007D5CEF" w:rsidRPr="00C30F69" w:rsidRDefault="001D7DD3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658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</w:t>
            </w:r>
          </w:p>
        </w:tc>
        <w:tc>
          <w:tcPr>
            <w:tcW w:w="1141" w:type="dxa"/>
            <w:vAlign w:val="center"/>
          </w:tcPr>
          <w:p w14:paraId="5A48493E" w14:textId="44AF34DE" w:rsidR="007D5CEF" w:rsidRPr="00D2237B" w:rsidRDefault="007843BB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66F98" w:rsidRPr="00D2237B" w14:paraId="1A9553D0" w14:textId="77777777" w:rsidTr="00566F98">
        <w:tc>
          <w:tcPr>
            <w:tcW w:w="830" w:type="dxa"/>
            <w:vAlign w:val="center"/>
          </w:tcPr>
          <w:p w14:paraId="728BCD4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85043AF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14:paraId="3A4197AC" w14:textId="225B1EF6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19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1646825" w14:textId="31EF0B1C" w:rsidR="007D5CEF" w:rsidRPr="00C30F69" w:rsidRDefault="001D7DD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16" w:type="dxa"/>
            <w:vAlign w:val="center"/>
          </w:tcPr>
          <w:p w14:paraId="03FC11F0" w14:textId="18B6D463" w:rsidR="007D5CEF" w:rsidRPr="00C30F69" w:rsidRDefault="001D7DD3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1" w:type="dxa"/>
            <w:vAlign w:val="center"/>
          </w:tcPr>
          <w:p w14:paraId="7848C408" w14:textId="38FEA57E" w:rsidR="007D5CEF" w:rsidRPr="00D2237B" w:rsidRDefault="001D7DD3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66F98" w:rsidRPr="00D2237B" w14:paraId="7684583E" w14:textId="77777777" w:rsidTr="00566F98">
        <w:tc>
          <w:tcPr>
            <w:tcW w:w="830" w:type="dxa"/>
            <w:vAlign w:val="center"/>
          </w:tcPr>
          <w:p w14:paraId="6DBD122D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6F2A5C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14:paraId="08B8AF04" w14:textId="0C755A78"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37, AOP 2</w:t>
            </w:r>
            <w:r w:rsidR="00566F98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7843BB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01EEAA5" w14:textId="5E7A4476" w:rsidR="007D5CEF" w:rsidRPr="00C30F69" w:rsidRDefault="000C684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716" w:type="dxa"/>
            <w:vAlign w:val="center"/>
          </w:tcPr>
          <w:p w14:paraId="2D1C8CA4" w14:textId="4F6E5E4D" w:rsidR="007D5CEF" w:rsidRPr="00C30F69" w:rsidRDefault="001D7DD3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141" w:type="dxa"/>
            <w:vAlign w:val="center"/>
          </w:tcPr>
          <w:p w14:paraId="3B4C3B1B" w14:textId="229BF939" w:rsidR="007D5CEF" w:rsidRPr="00D2237B" w:rsidRDefault="007843BB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58,1</w:t>
            </w:r>
          </w:p>
        </w:tc>
      </w:tr>
      <w:tr w:rsidR="00566F98" w:rsidRPr="00D2237B" w14:paraId="75A74B24" w14:textId="77777777" w:rsidTr="00566F98">
        <w:tc>
          <w:tcPr>
            <w:tcW w:w="830" w:type="dxa"/>
            <w:vAlign w:val="center"/>
          </w:tcPr>
          <w:p w14:paraId="4E3A2FC5" w14:textId="77777777"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9476C1D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14:paraId="340B5C51" w14:textId="77777777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E169B7" w14:textId="3DC2E5B5" w:rsidR="007D5CEF" w:rsidRPr="00C30F69" w:rsidRDefault="0000330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830</w:t>
            </w:r>
          </w:p>
        </w:tc>
        <w:tc>
          <w:tcPr>
            <w:tcW w:w="1716" w:type="dxa"/>
            <w:vAlign w:val="center"/>
          </w:tcPr>
          <w:p w14:paraId="0CA1669A" w14:textId="74256EBA" w:rsidR="007D5CEF" w:rsidRPr="00C30F69" w:rsidRDefault="007843BB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  <w:r w:rsid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264</w:t>
            </w:r>
          </w:p>
        </w:tc>
        <w:tc>
          <w:tcPr>
            <w:tcW w:w="1141" w:type="dxa"/>
            <w:vAlign w:val="center"/>
          </w:tcPr>
          <w:p w14:paraId="26E9E29C" w14:textId="581A7206" w:rsidR="00426904" w:rsidRPr="007843BB" w:rsidRDefault="007843BB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25,5</w:t>
            </w:r>
          </w:p>
        </w:tc>
      </w:tr>
      <w:tr w:rsidR="00566F98" w:rsidRPr="00D2237B" w14:paraId="01FD5CAD" w14:textId="77777777" w:rsidTr="00566F98">
        <w:tc>
          <w:tcPr>
            <w:tcW w:w="830" w:type="dxa"/>
            <w:vAlign w:val="center"/>
          </w:tcPr>
          <w:p w14:paraId="2DFAA76E" w14:textId="77777777" w:rsidR="007D5CEF" w:rsidRPr="00C30F69" w:rsidRDefault="007D5CEF" w:rsidP="00B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3F5EA7A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14:paraId="0C30F0B0" w14:textId="61ED4FF2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3</w:t>
            </w:r>
            <w:r w:rsidR="00AD6E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8E436A" w14:textId="1F88D10A" w:rsidR="007D5CEF" w:rsidRPr="00C30F69" w:rsidRDefault="0000330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830</w:t>
            </w:r>
          </w:p>
        </w:tc>
        <w:tc>
          <w:tcPr>
            <w:tcW w:w="1716" w:type="dxa"/>
            <w:vAlign w:val="center"/>
          </w:tcPr>
          <w:p w14:paraId="08BD0B2F" w14:textId="23FF666D" w:rsidR="007D5CEF" w:rsidRPr="00C30F69" w:rsidRDefault="007843BB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</w:t>
            </w:r>
          </w:p>
        </w:tc>
        <w:tc>
          <w:tcPr>
            <w:tcW w:w="1141" w:type="dxa"/>
            <w:vAlign w:val="center"/>
          </w:tcPr>
          <w:p w14:paraId="5762BD19" w14:textId="4095CB40" w:rsidR="00426904" w:rsidRPr="00D2237B" w:rsidRDefault="007843BB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566F98" w:rsidRPr="00D2237B" w14:paraId="7CC117C6" w14:textId="77777777" w:rsidTr="00566F98">
        <w:tc>
          <w:tcPr>
            <w:tcW w:w="830" w:type="dxa"/>
          </w:tcPr>
          <w:p w14:paraId="6FD8FE3C" w14:textId="77777777"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29E3623" w14:textId="77777777"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FD4AD" w14:textId="5504FBE7" w:rsidR="006E1B67" w:rsidRPr="00C30F69" w:rsidRDefault="007843BB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969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1716" w:type="dxa"/>
            <w:vAlign w:val="center"/>
          </w:tcPr>
          <w:p w14:paraId="3ADEC358" w14:textId="7BB5F4E1" w:rsidR="006E1B67" w:rsidRPr="00C30F69" w:rsidRDefault="00426904" w:rsidP="0063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78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78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261</w:t>
            </w:r>
          </w:p>
        </w:tc>
        <w:tc>
          <w:tcPr>
            <w:tcW w:w="1141" w:type="dxa"/>
            <w:vAlign w:val="center"/>
          </w:tcPr>
          <w:p w14:paraId="0EF8E049" w14:textId="745D8A31" w:rsidR="006E1B67" w:rsidRPr="00D2237B" w:rsidRDefault="006361B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78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78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</w:tbl>
    <w:p w14:paraId="16B9FD2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2265F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6FCDA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RASHODI:</w:t>
      </w:r>
    </w:p>
    <w:p w14:paraId="3C4F183A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14B87" w14:textId="2137BA5D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14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903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225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4C9B4772" w14:textId="151EB68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658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270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7C10AC3D" w14:textId="78738DD5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2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kuć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osig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 i dr. nakna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26AC9979" w14:textId="38B0AABE" w:rsidR="00C30F69" w:rsidRPr="001B09A2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34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nabav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neproizv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</w:t>
      </w:r>
      <w:r w:rsidR="001B09A2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264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 </w:t>
      </w:r>
    </w:p>
    <w:p w14:paraId="46886D6E" w14:textId="04798244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74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074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597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261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14:paraId="7ADAF0D2" w14:textId="77777777"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59CA7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78FF4" w14:textId="58F05D92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148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su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u odnosu na 20</w:t>
      </w:r>
      <w:r w:rsidR="003142F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3142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odlaska troje zaposlenih, a dolaska jedne službenice putem natječaja, te dvije službenice na radu s polovicom radnog vremena. Ostali rashodi povećani su zbog </w:t>
      </w:r>
      <w:r w:rsidR="00791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većeg broja 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142F0">
        <w:rPr>
          <w:rFonts w:ascii="Times New Roman" w:eastAsia="Times New Roman" w:hAnsi="Times New Roman" w:cs="Times New Roman"/>
          <w:sz w:val="24"/>
          <w:szCs w:val="24"/>
          <w:lang w:eastAsia="hr-HR"/>
        </w:rPr>
        <w:t>omoći u slučaju smrti člana obitelji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0A62F4" w14:textId="77777777" w:rsidR="00D9468F" w:rsidRDefault="00D9468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2DFEB" w14:textId="77777777" w:rsidR="00CE650C" w:rsidRDefault="00CE650C" w:rsidP="00CE650C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4F377" w14:textId="25502007" w:rsidR="002C67A0" w:rsidRDefault="00C30F69" w:rsidP="002C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160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smanjeni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, odlaskom troje zaposlenih manje su naknade za prijevoz, zbog pandemije smanjeni su troškovi stručnog usavršavanja za obnovu certifikata iz područja javne nabave (</w:t>
      </w:r>
      <w:proofErr w:type="spellStart"/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webinari</w:t>
      </w:r>
      <w:proofErr w:type="spellEnd"/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smanjena je potrošnja uredskog materijala, dok 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>su istovremeno povećani troškovi službenih putovanja, troškovi energije (struja, toplana), materijala i dijelova za tekuće održavanje opreme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se više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 popravilo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manje kupilo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troškova računalnih usluga te 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povećanih 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jedan žalbeni postupak 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troškova reprezentacije. </w:t>
      </w:r>
    </w:p>
    <w:p w14:paraId="7B8D05CD" w14:textId="77777777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4870D" w14:textId="30E7B05C" w:rsidR="00C30F69" w:rsidRDefault="00CF462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193</w:t>
      </w: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192F11" w:rsidRPr="00192F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Financijski rashodi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U 2021. zbog pandemije imali smo kašnjenje u isplati naknade za nezapošljavanje invalida pa je nastao rashod od 1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,88 kuna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zateznih 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>kamata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05DE80C" w14:textId="77777777" w:rsidR="00192F11" w:rsidRDefault="00192F1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BE49C" w14:textId="5B2233F2" w:rsidR="0065374C" w:rsidRDefault="00BC268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34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nefinancijske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u odnosu na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prošlu kada su nabavljena osobna i prijenosna računala te</w:t>
      </w:r>
      <w:r w:rsidR="00D0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2021. godini nabavljeno je jedno prijenosno računalo</w:t>
      </w:r>
      <w:r w:rsidR="00D0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jedan server,</w:t>
      </w:r>
      <w:r w:rsidR="00791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 sef </w:t>
      </w:r>
      <w:r w:rsidR="00D0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telekomunikaciju</w:t>
      </w:r>
      <w:r w:rsidR="00791A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9DFCC1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647E9" w14:textId="77777777"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1A0A4" w14:textId="77777777" w:rsidR="00C30F69" w:rsidRPr="008A71C2" w:rsidRDefault="00C30F69" w:rsidP="008A7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14:paraId="00EC9C1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D7A46" w14:textId="22AD4446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643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472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3BB88754" w14:textId="471C9162"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5</w:t>
      </w:r>
      <w:r w:rsidR="0064670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597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61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14:paraId="312C73D3" w14:textId="420851DF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i primitaka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46.211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116440C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5743F" w14:textId="6C03AE51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7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546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kn</w:t>
      </w:r>
    </w:p>
    <w:p w14:paraId="281974F2" w14:textId="79FF4624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</w:t>
      </w:r>
      <w:r w:rsidR="006E1C6B">
        <w:rPr>
          <w:rFonts w:ascii="Times New Roman" w:eastAsia="Times New Roman" w:hAnsi="Times New Roman" w:cs="Times New Roman"/>
          <w:sz w:val="24"/>
          <w:szCs w:val="24"/>
          <w:lang w:eastAsia="hr-HR"/>
        </w:rPr>
        <w:t>i primitaka raspoloživ u sljedećem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     =      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26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665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73A83C8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623D7" w14:textId="757F8F76" w:rsidR="003D5EED" w:rsidRDefault="00402D42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pokriće rashoda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46.211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prihoda od donacije po izvoru 61 u iznosu od 42.114,58 kuna i ostatak od 4.094,80 kuna, te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kao razlika plaćenih računa iz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4.09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iz izvora 11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 od 19.546 kuna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nedospjelih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knjiženih u 20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iznosu od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451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će biti plaćeni i iskazani kao prihodi u 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0A39B61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A5E2D" w14:textId="77777777"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126/19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14:paraId="1FCBC070" w14:textId="77777777"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A2453A" w14:textId="77777777"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6B947" w14:textId="77777777"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ED8A0" w14:textId="77777777"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9211B" w14:textId="77777777" w:rsidR="004729E3" w:rsidRPr="00D23E25" w:rsidRDefault="004729E3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bilanca (BIL)</w:t>
      </w:r>
    </w:p>
    <w:p w14:paraId="5D47DE60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2AF35A" w14:textId="77777777"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67B70" w14:textId="64EE69E1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02D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14:paraId="2C7A7D49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52E43" w14:textId="528DD8AA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B4F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91"/>
        <w:gridCol w:w="1648"/>
        <w:gridCol w:w="1473"/>
      </w:tblGrid>
      <w:tr w:rsidR="009B2C69" w:rsidRPr="00AA044F" w14:paraId="6B7AEBF1" w14:textId="77777777" w:rsidTr="00AF4301">
        <w:tc>
          <w:tcPr>
            <w:tcW w:w="4248" w:type="dxa"/>
            <w:vMerge w:val="restart"/>
          </w:tcPr>
          <w:p w14:paraId="176CAAE4" w14:textId="77777777"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1" w:type="dxa"/>
          </w:tcPr>
          <w:p w14:paraId="3EE4ABB1" w14:textId="7A13D299"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</w:t>
            </w:r>
            <w:r w:rsidR="00E1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8" w:type="dxa"/>
          </w:tcPr>
          <w:p w14:paraId="659B8E59" w14:textId="23989E8A" w:rsidR="009B2C69" w:rsidRPr="00AA044F" w:rsidRDefault="009B2C69" w:rsidP="0057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</w:t>
            </w:r>
            <w:r w:rsidR="00577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E1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3" w:type="dxa"/>
          </w:tcPr>
          <w:p w14:paraId="1BB0DF80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9B2C69" w:rsidRPr="00AA044F" w14:paraId="0AA826F5" w14:textId="77777777" w:rsidTr="00AF4301">
        <w:tc>
          <w:tcPr>
            <w:tcW w:w="4248" w:type="dxa"/>
            <w:vMerge/>
          </w:tcPr>
          <w:p w14:paraId="65BA7076" w14:textId="77777777"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</w:tcPr>
          <w:p w14:paraId="3C795F12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48" w:type="dxa"/>
          </w:tcPr>
          <w:p w14:paraId="17410737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14:paraId="34BE7C02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57302" w:rsidRPr="00AA044F" w14:paraId="766592AC" w14:textId="77777777" w:rsidTr="00AF4301">
        <w:tc>
          <w:tcPr>
            <w:tcW w:w="4248" w:type="dxa"/>
          </w:tcPr>
          <w:p w14:paraId="6FEB2A64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691" w:type="dxa"/>
          </w:tcPr>
          <w:p w14:paraId="2BC630AC" w14:textId="0D790B9E" w:rsidR="00757302" w:rsidRPr="00AA044F" w:rsidRDefault="00E15A6C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346.624</w:t>
            </w:r>
          </w:p>
        </w:tc>
        <w:tc>
          <w:tcPr>
            <w:tcW w:w="1648" w:type="dxa"/>
          </w:tcPr>
          <w:p w14:paraId="6D45F127" w14:textId="3985932E" w:rsidR="00757302" w:rsidRPr="00AA044F" w:rsidRDefault="00E15A6C" w:rsidP="00577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251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1473" w:type="dxa"/>
          </w:tcPr>
          <w:p w14:paraId="2F4147A0" w14:textId="6A393D95" w:rsidR="00757302" w:rsidRDefault="00E15A6C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72,6</w:t>
            </w:r>
          </w:p>
        </w:tc>
      </w:tr>
      <w:tr w:rsidR="00757302" w:rsidRPr="00AA044F" w14:paraId="0225476D" w14:textId="77777777" w:rsidTr="00AF4301">
        <w:tc>
          <w:tcPr>
            <w:tcW w:w="4248" w:type="dxa"/>
          </w:tcPr>
          <w:p w14:paraId="31B8D09D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691" w:type="dxa"/>
          </w:tcPr>
          <w:p w14:paraId="1A27E1E4" w14:textId="6B70D0AD" w:rsidR="00757302" w:rsidRPr="00AA044F" w:rsidRDefault="00E15A6C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7.987</w:t>
            </w:r>
          </w:p>
        </w:tc>
        <w:tc>
          <w:tcPr>
            <w:tcW w:w="1648" w:type="dxa"/>
          </w:tcPr>
          <w:p w14:paraId="0711ACEA" w14:textId="5D8B003A" w:rsidR="00757302" w:rsidRPr="00AA044F" w:rsidRDefault="00E15A6C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73" w:type="dxa"/>
          </w:tcPr>
          <w:p w14:paraId="4C23529E" w14:textId="37652A03" w:rsidR="00757302" w:rsidRDefault="00E15A6C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757302" w:rsidRPr="00AA044F" w14:paraId="166CFFEE" w14:textId="77777777" w:rsidTr="00AF4301">
        <w:tc>
          <w:tcPr>
            <w:tcW w:w="4248" w:type="dxa"/>
          </w:tcPr>
          <w:p w14:paraId="6B31D3C5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691" w:type="dxa"/>
          </w:tcPr>
          <w:p w14:paraId="71962F17" w14:textId="06AFE717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15A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15A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</w:t>
            </w:r>
          </w:p>
        </w:tc>
        <w:tc>
          <w:tcPr>
            <w:tcW w:w="1648" w:type="dxa"/>
          </w:tcPr>
          <w:p w14:paraId="2999864F" w14:textId="56EC3245" w:rsidR="00757302" w:rsidRPr="00AA044F" w:rsidRDefault="005D1534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777</w:t>
            </w:r>
          </w:p>
        </w:tc>
        <w:tc>
          <w:tcPr>
            <w:tcW w:w="1473" w:type="dxa"/>
          </w:tcPr>
          <w:p w14:paraId="01C24F68" w14:textId="36F94BAE" w:rsidR="00757302" w:rsidRDefault="005D1534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76,7</w:t>
            </w:r>
          </w:p>
        </w:tc>
      </w:tr>
      <w:tr w:rsidR="00757302" w:rsidRPr="00AA044F" w14:paraId="1EBB73AB" w14:textId="77777777" w:rsidTr="00AF4301">
        <w:tc>
          <w:tcPr>
            <w:tcW w:w="4248" w:type="dxa"/>
          </w:tcPr>
          <w:p w14:paraId="6EA31B5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691" w:type="dxa"/>
          </w:tcPr>
          <w:p w14:paraId="025BB258" w14:textId="2689BC4F" w:rsidR="00757302" w:rsidRPr="00AA044F" w:rsidRDefault="005D1534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1648" w:type="dxa"/>
          </w:tcPr>
          <w:p w14:paraId="12D58B33" w14:textId="377BDDCD" w:rsidR="00757302" w:rsidRPr="00AA044F" w:rsidRDefault="005D1534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</w:t>
            </w:r>
          </w:p>
        </w:tc>
        <w:tc>
          <w:tcPr>
            <w:tcW w:w="1473" w:type="dxa"/>
          </w:tcPr>
          <w:p w14:paraId="2549E3F8" w14:textId="018491BC" w:rsidR="00757302" w:rsidRDefault="005D1534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53,8</w:t>
            </w:r>
          </w:p>
        </w:tc>
      </w:tr>
      <w:tr w:rsidR="00AF4301" w:rsidRPr="00AA044F" w14:paraId="4DE9CE36" w14:textId="77777777" w:rsidTr="005D1534">
        <w:trPr>
          <w:trHeight w:val="401"/>
        </w:trPr>
        <w:tc>
          <w:tcPr>
            <w:tcW w:w="4248" w:type="dxa"/>
          </w:tcPr>
          <w:p w14:paraId="1851210B" w14:textId="77777777" w:rsidR="00AF4301" w:rsidRPr="00AA044F" w:rsidRDefault="00AF4301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Prijevozna sredstva u cestovnom prometu</w:t>
            </w:r>
          </w:p>
        </w:tc>
        <w:tc>
          <w:tcPr>
            <w:tcW w:w="1691" w:type="dxa"/>
          </w:tcPr>
          <w:p w14:paraId="7B6D6621" w14:textId="71AB7A11" w:rsidR="00AF4301" w:rsidRDefault="00AF4301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988</w:t>
            </w:r>
          </w:p>
        </w:tc>
        <w:tc>
          <w:tcPr>
            <w:tcW w:w="1648" w:type="dxa"/>
          </w:tcPr>
          <w:p w14:paraId="2EF3F69A" w14:textId="3285C27A" w:rsidR="00AF4301" w:rsidRDefault="005D1534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70.607</w:t>
            </w:r>
          </w:p>
        </w:tc>
        <w:tc>
          <w:tcPr>
            <w:tcW w:w="1473" w:type="dxa"/>
          </w:tcPr>
          <w:p w14:paraId="60483A1A" w14:textId="113D175F" w:rsidR="00AF4301" w:rsidRDefault="005D1534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69,2</w:t>
            </w:r>
          </w:p>
        </w:tc>
      </w:tr>
      <w:tr w:rsidR="00757302" w:rsidRPr="00AA044F" w14:paraId="64C19A92" w14:textId="77777777" w:rsidTr="00AF4301">
        <w:tc>
          <w:tcPr>
            <w:tcW w:w="4248" w:type="dxa"/>
          </w:tcPr>
          <w:p w14:paraId="1D98D47F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691" w:type="dxa"/>
          </w:tcPr>
          <w:p w14:paraId="0B1CCEAD" w14:textId="46F198CE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819</w:t>
            </w:r>
          </w:p>
        </w:tc>
        <w:tc>
          <w:tcPr>
            <w:tcW w:w="1648" w:type="dxa"/>
          </w:tcPr>
          <w:p w14:paraId="6B3181B6" w14:textId="1F589A41"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</w:t>
            </w:r>
          </w:p>
        </w:tc>
        <w:tc>
          <w:tcPr>
            <w:tcW w:w="1473" w:type="dxa"/>
          </w:tcPr>
          <w:p w14:paraId="654A0C2A" w14:textId="2CA04377" w:rsidR="00757302" w:rsidRDefault="005D1534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96,7</w:t>
            </w:r>
          </w:p>
        </w:tc>
      </w:tr>
      <w:tr w:rsidR="00757302" w:rsidRPr="00AA044F" w14:paraId="6D641B3A" w14:textId="77777777" w:rsidTr="00AF4301">
        <w:tc>
          <w:tcPr>
            <w:tcW w:w="4248" w:type="dxa"/>
          </w:tcPr>
          <w:p w14:paraId="7253C1C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Depoziti,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jamčevni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polozi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potraživanja od zaposlenih, te za više plaćene poreze i ostalo</w:t>
            </w:r>
          </w:p>
        </w:tc>
        <w:tc>
          <w:tcPr>
            <w:tcW w:w="1691" w:type="dxa"/>
          </w:tcPr>
          <w:p w14:paraId="123E0155" w14:textId="3988D7CD" w:rsidR="00757302" w:rsidRPr="00AA044F" w:rsidRDefault="005D1534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085</w:t>
            </w:r>
          </w:p>
        </w:tc>
        <w:tc>
          <w:tcPr>
            <w:tcW w:w="1648" w:type="dxa"/>
          </w:tcPr>
          <w:p w14:paraId="6FC5CE1A" w14:textId="43344CFC" w:rsidR="00757302" w:rsidRPr="00AA044F" w:rsidRDefault="005D1534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1473" w:type="dxa"/>
          </w:tcPr>
          <w:p w14:paraId="1280AC71" w14:textId="64393916" w:rsidR="00757302" w:rsidRDefault="005D1534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44,1</w:t>
            </w:r>
          </w:p>
        </w:tc>
      </w:tr>
      <w:tr w:rsidR="00757302" w:rsidRPr="00AA044F" w14:paraId="453E7C82" w14:textId="77777777" w:rsidTr="00AF4301">
        <w:tc>
          <w:tcPr>
            <w:tcW w:w="4248" w:type="dxa"/>
          </w:tcPr>
          <w:p w14:paraId="3475786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691" w:type="dxa"/>
          </w:tcPr>
          <w:p w14:paraId="1998FCD5" w14:textId="2A352A8F" w:rsidR="00757302" w:rsidRPr="00AA044F" w:rsidRDefault="00757302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26.734</w:t>
            </w:r>
          </w:p>
        </w:tc>
        <w:tc>
          <w:tcPr>
            <w:tcW w:w="1648" w:type="dxa"/>
          </w:tcPr>
          <w:p w14:paraId="1D28430F" w14:textId="34E47B54" w:rsidR="00757302" w:rsidRPr="00AA044F" w:rsidRDefault="005D1534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541</w:t>
            </w:r>
          </w:p>
        </w:tc>
        <w:tc>
          <w:tcPr>
            <w:tcW w:w="1473" w:type="dxa"/>
          </w:tcPr>
          <w:p w14:paraId="2CA15B76" w14:textId="7DF745CB" w:rsidR="00757302" w:rsidRDefault="005D1534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91,8</w:t>
            </w:r>
          </w:p>
        </w:tc>
      </w:tr>
      <w:tr w:rsidR="00757302" w:rsidRPr="00AA044F" w14:paraId="58BC7488" w14:textId="77777777" w:rsidTr="00AF4301">
        <w:tc>
          <w:tcPr>
            <w:tcW w:w="4248" w:type="dxa"/>
          </w:tcPr>
          <w:p w14:paraId="093B5B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691" w:type="dxa"/>
          </w:tcPr>
          <w:p w14:paraId="452D24AD" w14:textId="53655854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443</w:t>
            </w:r>
          </w:p>
        </w:tc>
        <w:tc>
          <w:tcPr>
            <w:tcW w:w="1648" w:type="dxa"/>
          </w:tcPr>
          <w:p w14:paraId="6FE4E087" w14:textId="67CF1CFD" w:rsidR="00757302" w:rsidRPr="00AA044F" w:rsidRDefault="005D1534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702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1473" w:type="dxa"/>
          </w:tcPr>
          <w:p w14:paraId="3A869986" w14:textId="242560C9" w:rsidR="00757302" w:rsidRDefault="005D1534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86,4</w:t>
            </w:r>
          </w:p>
        </w:tc>
      </w:tr>
      <w:tr w:rsidR="00757302" w:rsidRPr="00AA044F" w14:paraId="0DF91DD9" w14:textId="77777777" w:rsidTr="00AF4301">
        <w:tc>
          <w:tcPr>
            <w:tcW w:w="4248" w:type="dxa"/>
          </w:tcPr>
          <w:p w14:paraId="50CF70DA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691" w:type="dxa"/>
          </w:tcPr>
          <w:p w14:paraId="4129472B" w14:textId="51619719" w:rsidR="00757302" w:rsidRPr="002747DE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  <w:r w:rsidR="00757302"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1648" w:type="dxa"/>
          </w:tcPr>
          <w:p w14:paraId="679C0CA4" w14:textId="057D6F10" w:rsidR="00757302" w:rsidRPr="002747DE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1473" w:type="dxa"/>
          </w:tcPr>
          <w:p w14:paraId="689DEF7B" w14:textId="490774DB" w:rsidR="00757302" w:rsidRPr="002747DE" w:rsidRDefault="005D1534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87,3</w:t>
            </w:r>
          </w:p>
        </w:tc>
      </w:tr>
      <w:tr w:rsidR="00757302" w:rsidRPr="00AA044F" w14:paraId="3CA6F229" w14:textId="77777777" w:rsidTr="00AF4301">
        <w:tc>
          <w:tcPr>
            <w:tcW w:w="4248" w:type="dxa"/>
          </w:tcPr>
          <w:p w14:paraId="28FAD15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691" w:type="dxa"/>
          </w:tcPr>
          <w:p w14:paraId="393DE9B2" w14:textId="39269C3D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785</w:t>
            </w:r>
          </w:p>
        </w:tc>
        <w:tc>
          <w:tcPr>
            <w:tcW w:w="1648" w:type="dxa"/>
          </w:tcPr>
          <w:p w14:paraId="173B2B82" w14:textId="19425715"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863</w:t>
            </w:r>
          </w:p>
        </w:tc>
        <w:tc>
          <w:tcPr>
            <w:tcW w:w="1473" w:type="dxa"/>
          </w:tcPr>
          <w:p w14:paraId="5400C589" w14:textId="13A808A4" w:rsidR="00757302" w:rsidRDefault="005D1534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87,3</w:t>
            </w:r>
          </w:p>
        </w:tc>
      </w:tr>
      <w:tr w:rsidR="00757302" w:rsidRPr="00AA044F" w14:paraId="5BFDF7E1" w14:textId="77777777" w:rsidTr="00AF4301">
        <w:tc>
          <w:tcPr>
            <w:tcW w:w="4248" w:type="dxa"/>
          </w:tcPr>
          <w:p w14:paraId="6BA4DD1E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Odgođeno priznavanje rashoda</w:t>
            </w:r>
          </w:p>
        </w:tc>
        <w:tc>
          <w:tcPr>
            <w:tcW w:w="1691" w:type="dxa"/>
          </w:tcPr>
          <w:p w14:paraId="2EC3BA04" w14:textId="38FAD7F2" w:rsidR="00757302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580</w:t>
            </w:r>
          </w:p>
        </w:tc>
        <w:tc>
          <w:tcPr>
            <w:tcW w:w="1648" w:type="dxa"/>
          </w:tcPr>
          <w:p w14:paraId="25C3F782" w14:textId="661F563F" w:rsidR="00757302" w:rsidRDefault="005D1534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73" w:type="dxa"/>
          </w:tcPr>
          <w:p w14:paraId="69FAF7B6" w14:textId="0147D1FC" w:rsidR="00757302" w:rsidRDefault="00757302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7302" w:rsidRPr="00AA044F" w14:paraId="25E277B6" w14:textId="77777777" w:rsidTr="00AF4301">
        <w:tc>
          <w:tcPr>
            <w:tcW w:w="4248" w:type="dxa"/>
          </w:tcPr>
          <w:p w14:paraId="391B48C2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691" w:type="dxa"/>
            <w:shd w:val="clear" w:color="auto" w:fill="auto"/>
          </w:tcPr>
          <w:p w14:paraId="66C30208" w14:textId="19478BB3" w:rsidR="00757302" w:rsidRPr="002747DE" w:rsidRDefault="005D1534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327.077</w:t>
            </w:r>
          </w:p>
        </w:tc>
        <w:tc>
          <w:tcPr>
            <w:tcW w:w="1648" w:type="dxa"/>
            <w:shd w:val="clear" w:color="auto" w:fill="auto"/>
          </w:tcPr>
          <w:p w14:paraId="6231D8A7" w14:textId="2E15E227" w:rsidR="00757302" w:rsidRPr="002747DE" w:rsidRDefault="005D1534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278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305</w:t>
            </w:r>
          </w:p>
        </w:tc>
        <w:tc>
          <w:tcPr>
            <w:tcW w:w="1473" w:type="dxa"/>
          </w:tcPr>
          <w:p w14:paraId="2D516027" w14:textId="706BD077" w:rsidR="00757302" w:rsidRPr="002747DE" w:rsidRDefault="003F0F4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757302" w:rsidRPr="00DD0011" w14:paraId="2B09B0A1" w14:textId="77777777" w:rsidTr="00AF4301">
        <w:tc>
          <w:tcPr>
            <w:tcW w:w="4248" w:type="dxa"/>
          </w:tcPr>
          <w:p w14:paraId="7C1735CA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691" w:type="dxa"/>
            <w:shd w:val="clear" w:color="auto" w:fill="auto"/>
          </w:tcPr>
          <w:p w14:paraId="21777AD3" w14:textId="6D3E8924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443</w:t>
            </w:r>
          </w:p>
        </w:tc>
        <w:tc>
          <w:tcPr>
            <w:tcW w:w="1648" w:type="dxa"/>
            <w:shd w:val="clear" w:color="auto" w:fill="auto"/>
          </w:tcPr>
          <w:p w14:paraId="7FAFAE9D" w14:textId="32AF5250" w:rsidR="00757302" w:rsidRPr="00AA044F" w:rsidRDefault="005D1534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702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1473" w:type="dxa"/>
          </w:tcPr>
          <w:p w14:paraId="11CAC58F" w14:textId="77777777" w:rsidR="00757302" w:rsidRDefault="003F0F46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757302" w:rsidRPr="00DD0011" w14:paraId="7DDDEA28" w14:textId="77777777" w:rsidTr="00AF4301">
        <w:tc>
          <w:tcPr>
            <w:tcW w:w="4248" w:type="dxa"/>
          </w:tcPr>
          <w:p w14:paraId="2DC9D4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zapisi</w:t>
            </w:r>
          </w:p>
        </w:tc>
        <w:tc>
          <w:tcPr>
            <w:tcW w:w="1691" w:type="dxa"/>
            <w:shd w:val="clear" w:color="auto" w:fill="auto"/>
          </w:tcPr>
          <w:p w14:paraId="32E53015" w14:textId="51F14A73" w:rsidR="00757302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25.163.465</w:t>
            </w:r>
          </w:p>
        </w:tc>
        <w:tc>
          <w:tcPr>
            <w:tcW w:w="1648" w:type="dxa"/>
            <w:shd w:val="clear" w:color="auto" w:fill="auto"/>
          </w:tcPr>
          <w:p w14:paraId="1D725ADD" w14:textId="1267DBA6" w:rsidR="00757302" w:rsidRDefault="00C039E9" w:rsidP="00B92A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936</w:t>
            </w:r>
          </w:p>
        </w:tc>
        <w:tc>
          <w:tcPr>
            <w:tcW w:w="1473" w:type="dxa"/>
          </w:tcPr>
          <w:p w14:paraId="4714A3D5" w14:textId="6D67DDEF" w:rsidR="00757302" w:rsidRDefault="005D1534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131,6</w:t>
            </w:r>
          </w:p>
        </w:tc>
      </w:tr>
    </w:tbl>
    <w:p w14:paraId="456D012F" w14:textId="77777777" w:rsidR="004729E3" w:rsidRPr="00DD0011" w:rsidRDefault="004729E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01D33D46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FE247B3" w14:textId="77777777"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14:paraId="46E56A62" w14:textId="77777777" w:rsidR="002747DE" w:rsidRPr="00DD0011" w:rsidRDefault="002747D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6A2EFF9A" w14:textId="77777777" w:rsidR="00562F97" w:rsidRPr="00DD0011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5B123CC5" w14:textId="6009B606" w:rsidR="003F0F46" w:rsidRDefault="003F0F46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612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odnosi se na 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potraživanja od zaposlenih koja se obračunavaju na plaći zaposlenih i vraćaju u proračun.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su usklađena s HZZO-nje, 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i zatvorena na 29.12.2021.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dopisa Ministarstva financija.</w:t>
      </w:r>
    </w:p>
    <w:p w14:paraId="6F98DDCB" w14:textId="77777777" w:rsidR="00653558" w:rsidRDefault="00653558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657B8" w14:textId="1B30746C" w:rsidR="00653558" w:rsidRDefault="00653558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141 – potraživanja za prihode poslovanja u iznosu od 42.115 kuna odnosi se na donaciju za projekt CEF.</w:t>
      </w:r>
    </w:p>
    <w:p w14:paraId="2CEF188B" w14:textId="77777777" w:rsidR="00653558" w:rsidRPr="003E14A8" w:rsidRDefault="00653558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D5DE0" w14:textId="6E2F4D19" w:rsidR="00D9585B" w:rsidRPr="003E14A8" w:rsidRDefault="00E604E0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2742D4" w14:textId="77777777"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B884D" w14:textId="77777777"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1E897D1" w14:textId="7AF58DA4" w:rsidR="00CE650C" w:rsidRDefault="00D1367D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hAnsi="Times New Roman" w:cs="Times New Roman"/>
          <w:sz w:val="24"/>
          <w:szCs w:val="24"/>
        </w:rPr>
        <w:t>AOP 2</w:t>
      </w:r>
      <w:r w:rsidR="00860415">
        <w:rPr>
          <w:rFonts w:ascii="Times New Roman" w:hAnsi="Times New Roman" w:cs="Times New Roman"/>
          <w:sz w:val="24"/>
          <w:szCs w:val="24"/>
        </w:rPr>
        <w:t>50</w:t>
      </w:r>
      <w:r w:rsidR="00C4714E">
        <w:rPr>
          <w:rFonts w:ascii="Times New Roman" w:hAnsi="Times New Roman" w:cs="Times New Roman"/>
          <w:sz w:val="24"/>
          <w:szCs w:val="24"/>
        </w:rPr>
        <w:t>/2</w:t>
      </w:r>
      <w:r w:rsidR="00860415">
        <w:rPr>
          <w:rFonts w:ascii="Times New Roman" w:hAnsi="Times New Roman" w:cs="Times New Roman"/>
          <w:sz w:val="24"/>
          <w:szCs w:val="24"/>
        </w:rPr>
        <w:t>51</w:t>
      </w:r>
      <w:r w:rsidRPr="003E14A8">
        <w:rPr>
          <w:rFonts w:ascii="Times New Roman" w:hAnsi="Times New Roman" w:cs="Times New Roman"/>
          <w:sz w:val="24"/>
          <w:szCs w:val="24"/>
        </w:rPr>
        <w:t xml:space="preserve"> –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DE">
        <w:rPr>
          <w:rFonts w:ascii="Times New Roman" w:hAnsi="Times New Roman" w:cs="Times New Roman"/>
          <w:sz w:val="24"/>
          <w:szCs w:val="24"/>
        </w:rPr>
        <w:t>i</w:t>
      </w:r>
      <w:r w:rsidRPr="003E14A8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Pr="003E14A8">
        <w:rPr>
          <w:rFonts w:ascii="Times New Roman" w:hAnsi="Times New Roman" w:cs="Times New Roman"/>
          <w:sz w:val="24"/>
          <w:szCs w:val="24"/>
        </w:rPr>
        <w:t xml:space="preserve"> zapisi u ukupnom iznosu od </w:t>
      </w:r>
      <w:r w:rsidR="00EF08FE">
        <w:rPr>
          <w:rFonts w:ascii="Times New Roman" w:hAnsi="Times New Roman" w:cs="Times New Roman"/>
          <w:sz w:val="24"/>
          <w:szCs w:val="24"/>
        </w:rPr>
        <w:t>1</w:t>
      </w:r>
      <w:r w:rsidR="00653558">
        <w:rPr>
          <w:rFonts w:ascii="Times New Roman" w:hAnsi="Times New Roman" w:cs="Times New Roman"/>
          <w:sz w:val="24"/>
          <w:szCs w:val="24"/>
        </w:rPr>
        <w:t>64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 w:rsidR="00653558">
        <w:rPr>
          <w:rFonts w:ascii="Times New Roman" w:hAnsi="Times New Roman" w:cs="Times New Roman"/>
          <w:sz w:val="24"/>
          <w:szCs w:val="24"/>
        </w:rPr>
        <w:t>677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 w:rsidR="00653558">
        <w:rPr>
          <w:rFonts w:ascii="Times New Roman" w:hAnsi="Times New Roman" w:cs="Times New Roman"/>
          <w:sz w:val="24"/>
          <w:szCs w:val="24"/>
        </w:rPr>
        <w:t>936</w:t>
      </w:r>
      <w:r w:rsidR="003E22B8">
        <w:rPr>
          <w:rFonts w:ascii="Times New Roman" w:hAnsi="Times New Roman" w:cs="Times New Roman"/>
          <w:sz w:val="24"/>
          <w:szCs w:val="24"/>
        </w:rPr>
        <w:t xml:space="preserve"> kuna sastoji se od zadužnica i bankovne garancije za ozbiljnost ponude u iznosu od </w:t>
      </w:r>
      <w:r w:rsidR="00653558">
        <w:rPr>
          <w:rFonts w:ascii="Times New Roman" w:hAnsi="Times New Roman" w:cs="Times New Roman"/>
          <w:sz w:val="24"/>
          <w:szCs w:val="24"/>
        </w:rPr>
        <w:t>23.630.000</w:t>
      </w:r>
      <w:r w:rsidR="003E22B8">
        <w:rPr>
          <w:rFonts w:ascii="Times New Roman" w:hAnsi="Times New Roman" w:cs="Times New Roman"/>
          <w:sz w:val="24"/>
          <w:szCs w:val="24"/>
        </w:rPr>
        <w:t xml:space="preserve"> kune, zadužnica i bankovne garancije za izvršenje ugovora i okvirnih sporazuma u iznosu od </w:t>
      </w:r>
      <w:r w:rsidR="00EF08FE">
        <w:rPr>
          <w:rFonts w:ascii="Times New Roman" w:hAnsi="Times New Roman"/>
        </w:rPr>
        <w:t>1</w:t>
      </w:r>
      <w:r w:rsidR="00653558">
        <w:rPr>
          <w:rFonts w:ascii="Times New Roman" w:hAnsi="Times New Roman"/>
        </w:rPr>
        <w:t>40</w:t>
      </w:r>
      <w:r w:rsidR="00EF08FE">
        <w:rPr>
          <w:rFonts w:ascii="Times New Roman" w:hAnsi="Times New Roman"/>
        </w:rPr>
        <w:t>.</w:t>
      </w:r>
      <w:r w:rsidR="00653558">
        <w:rPr>
          <w:rFonts w:ascii="Times New Roman" w:hAnsi="Times New Roman"/>
        </w:rPr>
        <w:t>608</w:t>
      </w:r>
      <w:r w:rsidR="00EF08FE">
        <w:rPr>
          <w:rFonts w:ascii="Times New Roman" w:hAnsi="Times New Roman"/>
        </w:rPr>
        <w:t>.</w:t>
      </w:r>
      <w:r w:rsidR="00653558">
        <w:rPr>
          <w:rFonts w:ascii="Times New Roman" w:hAnsi="Times New Roman"/>
        </w:rPr>
        <w:t>13</w:t>
      </w:r>
      <w:r w:rsidR="001355A2">
        <w:rPr>
          <w:rFonts w:ascii="Times New Roman" w:hAnsi="Times New Roman"/>
        </w:rPr>
        <w:t>3</w:t>
      </w:r>
      <w:r w:rsidR="00EF08FE">
        <w:rPr>
          <w:rFonts w:ascii="Times New Roman" w:hAnsi="Times New Roman"/>
        </w:rPr>
        <w:t xml:space="preserve"> </w:t>
      </w:r>
      <w:r w:rsidR="00860415">
        <w:rPr>
          <w:rFonts w:ascii="Times New Roman" w:hAnsi="Times New Roman" w:cs="Times New Roman"/>
          <w:sz w:val="24"/>
          <w:szCs w:val="24"/>
        </w:rPr>
        <w:t xml:space="preserve"> kune, tuđe imovine dobivene na korištenju u iznosu od 43.750,00 kuna</w:t>
      </w:r>
      <w:r w:rsidR="00653558">
        <w:rPr>
          <w:rFonts w:ascii="Times New Roman" w:hAnsi="Times New Roman" w:cs="Times New Roman"/>
          <w:sz w:val="24"/>
          <w:szCs w:val="24"/>
        </w:rPr>
        <w:t>, te potencijaln</w:t>
      </w:r>
      <w:r w:rsidR="001355A2">
        <w:rPr>
          <w:rFonts w:ascii="Times New Roman" w:hAnsi="Times New Roman" w:cs="Times New Roman"/>
          <w:sz w:val="24"/>
          <w:szCs w:val="24"/>
        </w:rPr>
        <w:t xml:space="preserve">e obveze po osnovi </w:t>
      </w:r>
      <w:r w:rsidR="00653558">
        <w:rPr>
          <w:rFonts w:ascii="Times New Roman" w:hAnsi="Times New Roman" w:cs="Times New Roman"/>
          <w:sz w:val="24"/>
          <w:szCs w:val="24"/>
        </w:rPr>
        <w:t xml:space="preserve"> sudskog spora u iznosu od 396.053 kune.</w:t>
      </w:r>
    </w:p>
    <w:p w14:paraId="2314D5FD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1310" w14:textId="77777777" w:rsidR="00D23E25" w:rsidRPr="007C501E" w:rsidRDefault="00D23E25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rashodima prema funkcijskoj klasifikaciji (RAS-funkcijski)</w:t>
      </w:r>
    </w:p>
    <w:p w14:paraId="5A8249F1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B8994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9C33C" w14:textId="7971CE64"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na AOP-u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RAS-funkcijski te na AOP-u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jednaki te iznose 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597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262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14:paraId="6683D825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7ED50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0927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F701" w14:textId="77777777" w:rsidR="00DD0011" w:rsidRPr="00D23E25" w:rsidRDefault="00DD0011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14:paraId="1657D967" w14:textId="77777777"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3BF772" w14:textId="72625568" w:rsidR="008B6164" w:rsidRPr="00AD1406" w:rsidRDefault="009621AA" w:rsidP="00A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u vrijednosti i obujmu imovine tijekom 202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nije bilo.</w:t>
      </w:r>
    </w:p>
    <w:p w14:paraId="6E909EA3" w14:textId="77777777" w:rsidR="00BE5026" w:rsidRPr="00BE5026" w:rsidRDefault="00BE5026" w:rsidP="00B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2C555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919EE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4A74F" w14:textId="52C806CF" w:rsidR="00C30F69" w:rsidRPr="008B6164" w:rsidRDefault="00562F97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73789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6DCA0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AACBCE" w14:textId="77777777" w:rsidR="0076675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DRŽAVNI TAJNIK</w:t>
      </w:r>
    </w:p>
    <w:p w14:paraId="765963F7" w14:textId="77777777" w:rsidR="00C30F69" w:rsidRPr="00EC3907" w:rsidRDefault="00766759" w:rsidP="007667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SREDIŠNJEG DRŽAVNOG UREDA</w:t>
      </w:r>
    </w:p>
    <w:p w14:paraId="5E5CFB88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A738A" w14:textId="77777777" w:rsidR="00C30F69" w:rsidRPr="00C30F69" w:rsidRDefault="00C30F69" w:rsidP="00C30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7F3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Bubić</w:t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DBA" w14:textId="77777777" w:rsidR="00182130" w:rsidRDefault="00182130">
      <w:pPr>
        <w:spacing w:after="0" w:line="240" w:lineRule="auto"/>
      </w:pPr>
      <w:r>
        <w:separator/>
      </w:r>
    </w:p>
  </w:endnote>
  <w:endnote w:type="continuationSeparator" w:id="0">
    <w:p w14:paraId="764C1809" w14:textId="77777777"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A878" w14:textId="77777777" w:rsidR="00182130" w:rsidRDefault="001821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F4C7E">
      <w:rPr>
        <w:noProof/>
      </w:rPr>
      <w:t>4</w:t>
    </w:r>
    <w:r>
      <w:fldChar w:fldCharType="end"/>
    </w:r>
  </w:p>
  <w:p w14:paraId="7C2CA84E" w14:textId="77777777" w:rsidR="00182130" w:rsidRDefault="001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485" w14:textId="77777777"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14:paraId="08E65FFA" w14:textId="77777777"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A580AF10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60166"/>
    <w:rsid w:val="000741EE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55A2"/>
    <w:rsid w:val="00137173"/>
    <w:rsid w:val="00145A1D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D7DD3"/>
    <w:rsid w:val="001E5440"/>
    <w:rsid w:val="001E6DDF"/>
    <w:rsid w:val="002115F0"/>
    <w:rsid w:val="002216A7"/>
    <w:rsid w:val="00221E3B"/>
    <w:rsid w:val="002747DE"/>
    <w:rsid w:val="002774E6"/>
    <w:rsid w:val="002844C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D2EF2"/>
    <w:rsid w:val="002E185A"/>
    <w:rsid w:val="002E4BB0"/>
    <w:rsid w:val="002E57E1"/>
    <w:rsid w:val="002F4C7E"/>
    <w:rsid w:val="002F5500"/>
    <w:rsid w:val="002F6122"/>
    <w:rsid w:val="00302A94"/>
    <w:rsid w:val="00307960"/>
    <w:rsid w:val="003142F0"/>
    <w:rsid w:val="0031541F"/>
    <w:rsid w:val="00332B5D"/>
    <w:rsid w:val="0034403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3F0F46"/>
    <w:rsid w:val="004016C1"/>
    <w:rsid w:val="00402D42"/>
    <w:rsid w:val="00426904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5890"/>
    <w:rsid w:val="004959D7"/>
    <w:rsid w:val="00495C8F"/>
    <w:rsid w:val="004B25B1"/>
    <w:rsid w:val="004B772B"/>
    <w:rsid w:val="004C33F7"/>
    <w:rsid w:val="004C6578"/>
    <w:rsid w:val="004D0747"/>
    <w:rsid w:val="004D5C14"/>
    <w:rsid w:val="004F4129"/>
    <w:rsid w:val="00505F0A"/>
    <w:rsid w:val="00506159"/>
    <w:rsid w:val="00514658"/>
    <w:rsid w:val="0052204A"/>
    <w:rsid w:val="00530867"/>
    <w:rsid w:val="00533255"/>
    <w:rsid w:val="00533FDC"/>
    <w:rsid w:val="00542D18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7782F"/>
    <w:rsid w:val="00583385"/>
    <w:rsid w:val="005A7FA9"/>
    <w:rsid w:val="005B0A6C"/>
    <w:rsid w:val="005B1571"/>
    <w:rsid w:val="005B1715"/>
    <w:rsid w:val="005C508E"/>
    <w:rsid w:val="005C7300"/>
    <w:rsid w:val="005D1534"/>
    <w:rsid w:val="005E3FD4"/>
    <w:rsid w:val="005F2AEF"/>
    <w:rsid w:val="00606AA6"/>
    <w:rsid w:val="00615500"/>
    <w:rsid w:val="006207D4"/>
    <w:rsid w:val="006208EE"/>
    <w:rsid w:val="00624CAC"/>
    <w:rsid w:val="00634294"/>
    <w:rsid w:val="006361B1"/>
    <w:rsid w:val="006408CE"/>
    <w:rsid w:val="0064670F"/>
    <w:rsid w:val="00647BA1"/>
    <w:rsid w:val="0065262B"/>
    <w:rsid w:val="00653558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1350B"/>
    <w:rsid w:val="00731CA9"/>
    <w:rsid w:val="00757302"/>
    <w:rsid w:val="00766759"/>
    <w:rsid w:val="007843BB"/>
    <w:rsid w:val="007846B5"/>
    <w:rsid w:val="00791A1E"/>
    <w:rsid w:val="00793A56"/>
    <w:rsid w:val="00794471"/>
    <w:rsid w:val="007A706B"/>
    <w:rsid w:val="007B0539"/>
    <w:rsid w:val="007B62E6"/>
    <w:rsid w:val="007C501E"/>
    <w:rsid w:val="007C51A0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3627B"/>
    <w:rsid w:val="00850475"/>
    <w:rsid w:val="00860415"/>
    <w:rsid w:val="008748EF"/>
    <w:rsid w:val="00885D63"/>
    <w:rsid w:val="008A2009"/>
    <w:rsid w:val="008A71C2"/>
    <w:rsid w:val="008B36E8"/>
    <w:rsid w:val="008B6164"/>
    <w:rsid w:val="008C5B16"/>
    <w:rsid w:val="008D1AC9"/>
    <w:rsid w:val="008F707D"/>
    <w:rsid w:val="008F7C6E"/>
    <w:rsid w:val="00904942"/>
    <w:rsid w:val="009226C3"/>
    <w:rsid w:val="00927836"/>
    <w:rsid w:val="00930E65"/>
    <w:rsid w:val="0093712C"/>
    <w:rsid w:val="00950F97"/>
    <w:rsid w:val="00955553"/>
    <w:rsid w:val="009621AA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6E20"/>
    <w:rsid w:val="009D444C"/>
    <w:rsid w:val="009F6FBD"/>
    <w:rsid w:val="00A121BD"/>
    <w:rsid w:val="00A16FAF"/>
    <w:rsid w:val="00A333D6"/>
    <w:rsid w:val="00A338B9"/>
    <w:rsid w:val="00A43DB3"/>
    <w:rsid w:val="00A44B0A"/>
    <w:rsid w:val="00A51F7C"/>
    <w:rsid w:val="00A543C7"/>
    <w:rsid w:val="00A64F21"/>
    <w:rsid w:val="00A650AA"/>
    <w:rsid w:val="00A731F6"/>
    <w:rsid w:val="00A735AF"/>
    <w:rsid w:val="00A806F6"/>
    <w:rsid w:val="00A82AA0"/>
    <w:rsid w:val="00A83073"/>
    <w:rsid w:val="00A95651"/>
    <w:rsid w:val="00AA044F"/>
    <w:rsid w:val="00AA06C8"/>
    <w:rsid w:val="00AA2928"/>
    <w:rsid w:val="00AB1C7B"/>
    <w:rsid w:val="00AB603D"/>
    <w:rsid w:val="00AC3F26"/>
    <w:rsid w:val="00AC41F6"/>
    <w:rsid w:val="00AC5CB2"/>
    <w:rsid w:val="00AD1406"/>
    <w:rsid w:val="00AD47ED"/>
    <w:rsid w:val="00AD6E2F"/>
    <w:rsid w:val="00AE0315"/>
    <w:rsid w:val="00AE2058"/>
    <w:rsid w:val="00AE67A1"/>
    <w:rsid w:val="00AF25C2"/>
    <w:rsid w:val="00AF4301"/>
    <w:rsid w:val="00B011F2"/>
    <w:rsid w:val="00B108EA"/>
    <w:rsid w:val="00B123E0"/>
    <w:rsid w:val="00B15C6A"/>
    <w:rsid w:val="00B22E36"/>
    <w:rsid w:val="00B3763F"/>
    <w:rsid w:val="00B37750"/>
    <w:rsid w:val="00B4408A"/>
    <w:rsid w:val="00B47AA3"/>
    <w:rsid w:val="00B62CD8"/>
    <w:rsid w:val="00B653DD"/>
    <w:rsid w:val="00B92AF4"/>
    <w:rsid w:val="00B93CA9"/>
    <w:rsid w:val="00B96155"/>
    <w:rsid w:val="00BB34ED"/>
    <w:rsid w:val="00BB412A"/>
    <w:rsid w:val="00BB6465"/>
    <w:rsid w:val="00BC2688"/>
    <w:rsid w:val="00BE5026"/>
    <w:rsid w:val="00BF138B"/>
    <w:rsid w:val="00BF4607"/>
    <w:rsid w:val="00BF51F1"/>
    <w:rsid w:val="00BF6354"/>
    <w:rsid w:val="00C039E9"/>
    <w:rsid w:val="00C14ACB"/>
    <w:rsid w:val="00C16AF2"/>
    <w:rsid w:val="00C21C21"/>
    <w:rsid w:val="00C30F69"/>
    <w:rsid w:val="00C334F8"/>
    <w:rsid w:val="00C4714E"/>
    <w:rsid w:val="00C52B4B"/>
    <w:rsid w:val="00C60B0D"/>
    <w:rsid w:val="00C834D5"/>
    <w:rsid w:val="00CA089C"/>
    <w:rsid w:val="00CA0A0E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00E1A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DF0420"/>
    <w:rsid w:val="00E07D91"/>
    <w:rsid w:val="00E10AD7"/>
    <w:rsid w:val="00E1210B"/>
    <w:rsid w:val="00E15A6C"/>
    <w:rsid w:val="00E16378"/>
    <w:rsid w:val="00E30253"/>
    <w:rsid w:val="00E31B78"/>
    <w:rsid w:val="00E604E0"/>
    <w:rsid w:val="00E6380B"/>
    <w:rsid w:val="00E73A2A"/>
    <w:rsid w:val="00E7454A"/>
    <w:rsid w:val="00E75164"/>
    <w:rsid w:val="00EA3157"/>
    <w:rsid w:val="00EA40D6"/>
    <w:rsid w:val="00EA4144"/>
    <w:rsid w:val="00EB3A36"/>
    <w:rsid w:val="00EB4614"/>
    <w:rsid w:val="00EB4F2E"/>
    <w:rsid w:val="00EB68FA"/>
    <w:rsid w:val="00EC013C"/>
    <w:rsid w:val="00EC3907"/>
    <w:rsid w:val="00EC3B52"/>
    <w:rsid w:val="00EF08FE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604F2"/>
    <w:rsid w:val="00F61E47"/>
    <w:rsid w:val="00F65E00"/>
    <w:rsid w:val="00F67C48"/>
    <w:rsid w:val="00F75D0C"/>
    <w:rsid w:val="00F8025B"/>
    <w:rsid w:val="00F86AF8"/>
    <w:rsid w:val="00F9505C"/>
    <w:rsid w:val="00FA32DE"/>
    <w:rsid w:val="00FA3818"/>
    <w:rsid w:val="00FB2CA8"/>
    <w:rsid w:val="00FC536F"/>
    <w:rsid w:val="00FC53FD"/>
    <w:rsid w:val="00FC5939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3EB097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TableGrid">
    <w:name w:val="Table Grid"/>
    <w:basedOn w:val="TableNormal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51C-2167-42C4-9D23-7BFC8F3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42</cp:revision>
  <cp:lastPrinted>2019-02-08T14:10:00Z</cp:lastPrinted>
  <dcterms:created xsi:type="dcterms:W3CDTF">2019-02-08T12:45:00Z</dcterms:created>
  <dcterms:modified xsi:type="dcterms:W3CDTF">2022-01-31T13:17:00Z</dcterms:modified>
</cp:coreProperties>
</file>